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94" w:type="dxa"/>
        <w:tblInd w:w="227" w:type="dxa"/>
        <w:tblCellMar>
          <w:top w:w="37" w:type="dxa"/>
          <w:left w:w="113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5306"/>
        <w:gridCol w:w="4088"/>
      </w:tblGrid>
      <w:tr w:rsidR="00520EB1" w:rsidTr="00E306C6">
        <w:trPr>
          <w:trHeight w:val="327"/>
        </w:trPr>
        <w:tc>
          <w:tcPr>
            <w:tcW w:w="5306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:rsidR="00520EB1" w:rsidRDefault="00520EB1" w:rsidP="00E306C6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color w:val="FFFEFD"/>
                <w:sz w:val="22"/>
              </w:rPr>
              <w:t>Rozmowa studentów</w:t>
            </w:r>
          </w:p>
        </w:tc>
        <w:tc>
          <w:tcPr>
            <w:tcW w:w="408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F28D2C"/>
          </w:tcPr>
          <w:p w:rsidR="00520EB1" w:rsidRDefault="00520EB1" w:rsidP="00E306C6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color w:val="FFFEFD"/>
                <w:sz w:val="22"/>
              </w:rPr>
              <w:t>Wykład Raskolnikowa</w:t>
            </w:r>
          </w:p>
        </w:tc>
      </w:tr>
      <w:tr w:rsidR="00520EB1" w:rsidTr="00E306C6">
        <w:trPr>
          <w:trHeight w:val="384"/>
        </w:trPr>
        <w:tc>
          <w:tcPr>
            <w:tcW w:w="9394" w:type="dxa"/>
            <w:gridSpan w:val="2"/>
            <w:tcBorders>
              <w:top w:val="single" w:sz="4" w:space="0" w:color="FFFEFD"/>
              <w:left w:val="nil"/>
              <w:bottom w:val="single" w:sz="4" w:space="0" w:color="FFFEFD"/>
              <w:right w:val="nil"/>
            </w:tcBorders>
            <w:shd w:val="clear" w:color="auto" w:fill="384184"/>
          </w:tcPr>
          <w:p w:rsidR="00520EB1" w:rsidRDefault="00520EB1" w:rsidP="00E306C6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color w:val="FFFEFD"/>
                <w:sz w:val="22"/>
              </w:rPr>
              <w:t>Podział ludzi na dwie grupy</w:t>
            </w:r>
          </w:p>
        </w:tc>
      </w:tr>
      <w:tr w:rsidR="00520EB1" w:rsidTr="00E306C6">
        <w:trPr>
          <w:trHeight w:val="1132"/>
        </w:trPr>
        <w:tc>
          <w:tcPr>
            <w:tcW w:w="5306" w:type="dxa"/>
            <w:tcBorders>
              <w:top w:val="single" w:sz="4" w:space="0" w:color="FFFEFD"/>
              <w:left w:val="nil"/>
              <w:bottom w:val="single" w:sz="4" w:space="0" w:color="181717"/>
              <w:right w:val="single" w:sz="4" w:space="0" w:color="181717"/>
            </w:tcBorders>
          </w:tcPr>
          <w:p w:rsidR="00520EB1" w:rsidRDefault="00520EB1" w:rsidP="00E306C6">
            <w:pPr>
              <w:spacing w:after="0" w:line="259" w:lineRule="auto"/>
              <w:ind w:left="152" w:right="118" w:hanging="152"/>
              <w:jc w:val="left"/>
            </w:pPr>
            <w:r>
              <w:rPr>
                <w:b/>
              </w:rPr>
              <w:t xml:space="preserve">1.  </w:t>
            </w:r>
            <w:proofErr w:type="spellStart"/>
            <w:r>
              <w:t>Alona</w:t>
            </w:r>
            <w:proofErr w:type="spellEnd"/>
            <w:r>
              <w:t xml:space="preserve"> Iwanowna uosobieniem jednostek zbędnych w społeczeństwie, jej życie bezcelowe; pazerna, szkodliwa, żerująca na krzywdzie innych, wykorzystująca biednych bez skrupułów, złośliwa sekutnica, bezwzględna egoistka, w opinii studentów to</w:t>
            </w:r>
            <w:r>
              <w:rPr>
                <w:i/>
              </w:rPr>
              <w:t xml:space="preserve"> wesz, karaluch, przeklęta baba, jędza.</w:t>
            </w:r>
          </w:p>
        </w:tc>
        <w:tc>
          <w:tcPr>
            <w:tcW w:w="4087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:rsidR="00520EB1" w:rsidRDefault="00520EB1" w:rsidP="00E306C6">
            <w:pPr>
              <w:spacing w:after="0" w:line="259" w:lineRule="auto"/>
              <w:ind w:left="145" w:right="0" w:hanging="145"/>
              <w:jc w:val="left"/>
            </w:pPr>
            <w:r>
              <w:rPr>
                <w:b/>
              </w:rPr>
              <w:t>1.</w:t>
            </w:r>
            <w:r>
              <w:t xml:space="preserve"> Klasa ludzi niższych – materiał, którego zadaniem jest reprodukcja gatunku ludzkiego; ulegli, posłuszni i pokorni, konserwatywni, myślący krótkowzrocznie.</w:t>
            </w:r>
          </w:p>
        </w:tc>
      </w:tr>
      <w:tr w:rsidR="00520EB1" w:rsidTr="00E306C6">
        <w:trPr>
          <w:trHeight w:val="1388"/>
        </w:trPr>
        <w:tc>
          <w:tcPr>
            <w:tcW w:w="5306" w:type="dxa"/>
            <w:tcBorders>
              <w:top w:val="single" w:sz="4" w:space="0" w:color="181717"/>
              <w:left w:val="nil"/>
              <w:bottom w:val="single" w:sz="2" w:space="0" w:color="FFFEFD"/>
              <w:right w:val="single" w:sz="4" w:space="0" w:color="181717"/>
            </w:tcBorders>
          </w:tcPr>
          <w:p w:rsidR="00520EB1" w:rsidRDefault="00520EB1" w:rsidP="00E306C6">
            <w:pPr>
              <w:spacing w:after="0" w:line="259" w:lineRule="auto"/>
              <w:ind w:left="188" w:right="0" w:hanging="188"/>
              <w:jc w:val="left"/>
            </w:pPr>
            <w:r>
              <w:rPr>
                <w:b/>
              </w:rPr>
              <w:t xml:space="preserve">2.  </w:t>
            </w:r>
            <w:r>
              <w:t>Setki, tysiące ludzi młodych, świeżych sił w społeczeństwie, uratowanych dzięki pieniądzom lichwiarki, ocalonych od degeneracji, nędzy, upadku moralnego, pomoc im jest służbą dla ludzkości, dla dobra powszechnego.</w:t>
            </w:r>
          </w:p>
        </w:tc>
        <w:tc>
          <w:tcPr>
            <w:tcW w:w="4087" w:type="dxa"/>
            <w:tcBorders>
              <w:top w:val="single" w:sz="4" w:space="0" w:color="181717"/>
              <w:left w:val="single" w:sz="4" w:space="0" w:color="181717"/>
              <w:bottom w:val="single" w:sz="2" w:space="0" w:color="FFFEFD"/>
              <w:right w:val="nil"/>
            </w:tcBorders>
          </w:tcPr>
          <w:p w:rsidR="00520EB1" w:rsidRDefault="00520EB1" w:rsidP="00E306C6">
            <w:pPr>
              <w:spacing w:after="0" w:line="259" w:lineRule="auto"/>
              <w:ind w:left="181" w:right="0" w:hanging="181"/>
              <w:jc w:val="left"/>
            </w:pPr>
            <w:r>
              <w:rPr>
                <w:b/>
              </w:rPr>
              <w:t>2.</w:t>
            </w:r>
            <w:r>
              <w:t xml:space="preserve">  Jednostki wybitne (Kepler, Newton, Napoleon itd.), ludzie utalentowani, obdarzeni charyzmą, indywidualiści, burzyciele zastanego porządku, odważni w realizacji nowatorskich pomysłów służących ludzkości, myślący perspektywicznie.</w:t>
            </w:r>
          </w:p>
        </w:tc>
      </w:tr>
      <w:tr w:rsidR="00520EB1" w:rsidTr="00E306C6">
        <w:trPr>
          <w:trHeight w:val="382"/>
        </w:trPr>
        <w:tc>
          <w:tcPr>
            <w:tcW w:w="9394" w:type="dxa"/>
            <w:gridSpan w:val="2"/>
            <w:tcBorders>
              <w:top w:val="single" w:sz="2" w:space="0" w:color="FFFEFD"/>
              <w:left w:val="nil"/>
              <w:bottom w:val="single" w:sz="4" w:space="0" w:color="FFFEFD"/>
              <w:right w:val="nil"/>
            </w:tcBorders>
            <w:shd w:val="clear" w:color="auto" w:fill="384184"/>
          </w:tcPr>
          <w:p w:rsidR="00520EB1" w:rsidRDefault="00520EB1" w:rsidP="00E306C6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color w:val="FFFEFD"/>
                <w:sz w:val="22"/>
              </w:rPr>
              <w:t>Metody działania i ich uzasadnienie</w:t>
            </w:r>
          </w:p>
        </w:tc>
      </w:tr>
      <w:tr w:rsidR="00520EB1" w:rsidTr="00E306C6">
        <w:trPr>
          <w:trHeight w:val="622"/>
        </w:trPr>
        <w:tc>
          <w:tcPr>
            <w:tcW w:w="5306" w:type="dxa"/>
            <w:tcBorders>
              <w:top w:val="single" w:sz="4" w:space="0" w:color="FFFEFD"/>
              <w:left w:val="nil"/>
              <w:bottom w:val="single" w:sz="2" w:space="0" w:color="FFFEFD"/>
              <w:right w:val="single" w:sz="4" w:space="0" w:color="181717"/>
            </w:tcBorders>
          </w:tcPr>
          <w:p w:rsidR="00520EB1" w:rsidRDefault="00520EB1" w:rsidP="00E306C6">
            <w:pPr>
              <w:spacing w:after="0" w:line="259" w:lineRule="auto"/>
              <w:ind w:left="0" w:right="0" w:firstLine="0"/>
              <w:jc w:val="left"/>
            </w:pPr>
            <w:r>
              <w:t>– zabicie szkodliwej jednostki uzasadnione logiką proporcji 1:100, 1:1000</w:t>
            </w:r>
          </w:p>
        </w:tc>
        <w:tc>
          <w:tcPr>
            <w:tcW w:w="4087" w:type="dxa"/>
            <w:tcBorders>
              <w:top w:val="single" w:sz="4" w:space="0" w:color="FFFEFD"/>
              <w:left w:val="single" w:sz="4" w:space="0" w:color="181717"/>
              <w:bottom w:val="single" w:sz="2" w:space="0" w:color="FFFEFD"/>
              <w:right w:val="nil"/>
            </w:tcBorders>
          </w:tcPr>
          <w:p w:rsidR="00520EB1" w:rsidRDefault="00520EB1" w:rsidP="00E306C6">
            <w:pPr>
              <w:spacing w:after="0" w:line="259" w:lineRule="auto"/>
              <w:ind w:left="170" w:right="0" w:hanging="170"/>
              <w:jc w:val="left"/>
            </w:pPr>
            <w:r>
              <w:t>– rozlew krwi, mord, ofiara życia jednostki, a nawet grupy ludzi w imię postępu ludzkości</w:t>
            </w:r>
          </w:p>
        </w:tc>
      </w:tr>
      <w:tr w:rsidR="00520EB1" w:rsidTr="00E306C6">
        <w:trPr>
          <w:trHeight w:val="382"/>
        </w:trPr>
        <w:tc>
          <w:tcPr>
            <w:tcW w:w="9394" w:type="dxa"/>
            <w:gridSpan w:val="2"/>
            <w:tcBorders>
              <w:top w:val="single" w:sz="2" w:space="0" w:color="FFFEFD"/>
              <w:left w:val="nil"/>
              <w:bottom w:val="single" w:sz="4" w:space="0" w:color="FFFEFD"/>
              <w:right w:val="nil"/>
            </w:tcBorders>
            <w:shd w:val="clear" w:color="auto" w:fill="384184"/>
          </w:tcPr>
          <w:p w:rsidR="00520EB1" w:rsidRDefault="00520EB1" w:rsidP="00E306C6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color w:val="FFFEFD"/>
                <w:sz w:val="22"/>
              </w:rPr>
              <w:t>Uwarunkowania realizacji idei</w:t>
            </w:r>
          </w:p>
        </w:tc>
      </w:tr>
      <w:tr w:rsidR="00520EB1" w:rsidTr="00E306C6">
        <w:trPr>
          <w:trHeight w:val="1122"/>
        </w:trPr>
        <w:tc>
          <w:tcPr>
            <w:tcW w:w="5306" w:type="dxa"/>
            <w:tcBorders>
              <w:top w:val="single" w:sz="4" w:space="0" w:color="FFFEFD"/>
              <w:left w:val="nil"/>
              <w:bottom w:val="single" w:sz="2" w:space="0" w:color="FFFEFD"/>
              <w:right w:val="single" w:sz="4" w:space="0" w:color="181717"/>
            </w:tcBorders>
          </w:tcPr>
          <w:p w:rsidR="00520EB1" w:rsidRDefault="00520EB1" w:rsidP="00520EB1">
            <w:pPr>
              <w:numPr>
                <w:ilvl w:val="0"/>
                <w:numId w:val="2"/>
              </w:numPr>
              <w:spacing w:after="0" w:line="246" w:lineRule="auto"/>
              <w:ind w:right="0" w:hanging="170"/>
              <w:jc w:val="left"/>
            </w:pPr>
            <w:r>
              <w:t>konieczność naruszenia praw naturalnych (ochrona życia jednostki) usankcjonowana wyższą potrzebą życia ogółu, konieczność poprawiania natury przez człowieka</w:t>
            </w:r>
          </w:p>
          <w:p w:rsidR="00520EB1" w:rsidRDefault="00520EB1" w:rsidP="00520EB1">
            <w:pPr>
              <w:numPr>
                <w:ilvl w:val="0"/>
                <w:numId w:val="2"/>
              </w:numPr>
              <w:spacing w:after="0" w:line="259" w:lineRule="auto"/>
              <w:ind w:right="0" w:hanging="170"/>
              <w:jc w:val="left"/>
            </w:pPr>
            <w:r>
              <w:t>odejście od wartości moralnych ograniczających działania altruistyczne</w:t>
            </w:r>
          </w:p>
        </w:tc>
        <w:tc>
          <w:tcPr>
            <w:tcW w:w="4087" w:type="dxa"/>
            <w:tcBorders>
              <w:top w:val="single" w:sz="4" w:space="0" w:color="FFFEFD"/>
              <w:left w:val="single" w:sz="4" w:space="0" w:color="181717"/>
              <w:bottom w:val="single" w:sz="2" w:space="0" w:color="FFFEFD"/>
              <w:right w:val="nil"/>
            </w:tcBorders>
          </w:tcPr>
          <w:p w:rsidR="00520EB1" w:rsidRDefault="00520EB1" w:rsidP="00E306C6">
            <w:pPr>
              <w:spacing w:after="0" w:line="259" w:lineRule="auto"/>
              <w:ind w:left="170" w:right="0" w:hanging="170"/>
              <w:jc w:val="left"/>
            </w:pPr>
            <w:r>
              <w:t>– łamanie praw naturalnych, tradycyjnych, świętych, powszechnych, tworzenie nowego prawa</w:t>
            </w:r>
          </w:p>
        </w:tc>
      </w:tr>
      <w:tr w:rsidR="00520EB1" w:rsidTr="00E306C6">
        <w:trPr>
          <w:trHeight w:val="382"/>
        </w:trPr>
        <w:tc>
          <w:tcPr>
            <w:tcW w:w="9394" w:type="dxa"/>
            <w:gridSpan w:val="2"/>
            <w:tcBorders>
              <w:top w:val="single" w:sz="2" w:space="0" w:color="FFFEFD"/>
              <w:left w:val="nil"/>
              <w:bottom w:val="single" w:sz="4" w:space="0" w:color="FFFEFD"/>
              <w:right w:val="single" w:sz="2" w:space="0" w:color="FFFEFD"/>
            </w:tcBorders>
            <w:shd w:val="clear" w:color="auto" w:fill="384184"/>
          </w:tcPr>
          <w:p w:rsidR="00520EB1" w:rsidRDefault="00520EB1" w:rsidP="00E306C6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color w:val="FFFEFD"/>
                <w:sz w:val="22"/>
              </w:rPr>
              <w:t>Podobieństwa</w:t>
            </w:r>
          </w:p>
        </w:tc>
      </w:tr>
    </w:tbl>
    <w:p w:rsidR="00520EB1" w:rsidRDefault="00520EB1" w:rsidP="00520EB1">
      <w:pPr>
        <w:numPr>
          <w:ilvl w:val="1"/>
          <w:numId w:val="1"/>
        </w:numPr>
        <w:ind w:right="0" w:hanging="170"/>
      </w:pPr>
      <w:r>
        <w:t>obie koncepcje opierają się na przeniesieniu praw biologicznych na społeczeństwo, usankcjonowaniu prawa silniejszego, kierowaniu się instynktem przetrwania ludzkości – naturalizm etyczny</w:t>
      </w:r>
    </w:p>
    <w:p w:rsidR="00520EB1" w:rsidRDefault="00520EB1" w:rsidP="00520EB1">
      <w:pPr>
        <w:numPr>
          <w:ilvl w:val="1"/>
          <w:numId w:val="1"/>
        </w:numPr>
        <w:ind w:right="0" w:hanging="170"/>
      </w:pPr>
      <w:r>
        <w:t>zakładają naruszenie obowiązujących, powszechnych wartości moralnych (sumienie), społecznych (altruizm), religijnych (miłość bliźniego) – nihilizm</w:t>
      </w:r>
    </w:p>
    <w:p w:rsidR="00520EB1" w:rsidRDefault="00520EB1" w:rsidP="00520EB1">
      <w:pPr>
        <w:numPr>
          <w:ilvl w:val="1"/>
          <w:numId w:val="1"/>
        </w:numPr>
        <w:ind w:right="0" w:hanging="170"/>
      </w:pPr>
      <w:r>
        <w:t>aprobują tworzenie własnego systemu wartości wspierającego realizację celów, indywidualnej interpretacji wartości – amoralizm, relatywizm moralny</w:t>
      </w:r>
    </w:p>
    <w:tbl>
      <w:tblPr>
        <w:tblStyle w:val="TableGrid"/>
        <w:tblW w:w="9396" w:type="dxa"/>
        <w:tblInd w:w="227" w:type="dxa"/>
        <w:tblCellMar>
          <w:top w:w="63" w:type="dxa"/>
          <w:left w:w="113" w:type="dxa"/>
          <w:bottom w:w="0" w:type="dxa"/>
          <w:right w:w="254" w:type="dxa"/>
        </w:tblCellMar>
        <w:tblLook w:val="04A0" w:firstRow="1" w:lastRow="0" w:firstColumn="1" w:lastColumn="0" w:noHBand="0" w:noVBand="1"/>
      </w:tblPr>
      <w:tblGrid>
        <w:gridCol w:w="5306"/>
        <w:gridCol w:w="4090"/>
      </w:tblGrid>
      <w:tr w:rsidR="00520EB1" w:rsidTr="00E306C6">
        <w:trPr>
          <w:trHeight w:val="382"/>
        </w:trPr>
        <w:tc>
          <w:tcPr>
            <w:tcW w:w="5306" w:type="dxa"/>
            <w:tcBorders>
              <w:top w:val="single" w:sz="2" w:space="0" w:color="FFFEFD"/>
              <w:left w:val="nil"/>
              <w:bottom w:val="single" w:sz="4" w:space="0" w:color="FFFEFD"/>
              <w:right w:val="nil"/>
            </w:tcBorders>
            <w:shd w:val="clear" w:color="auto" w:fill="384184"/>
          </w:tcPr>
          <w:p w:rsidR="00520EB1" w:rsidRDefault="00520EB1" w:rsidP="00E306C6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color w:val="FFFEFD"/>
                <w:sz w:val="22"/>
              </w:rPr>
              <w:t>Różnice</w:t>
            </w:r>
          </w:p>
        </w:tc>
        <w:tc>
          <w:tcPr>
            <w:tcW w:w="4090" w:type="dxa"/>
            <w:tcBorders>
              <w:top w:val="single" w:sz="2" w:space="0" w:color="FFFEFD"/>
              <w:left w:val="nil"/>
              <w:bottom w:val="single" w:sz="4" w:space="0" w:color="FFFEFD"/>
              <w:right w:val="nil"/>
            </w:tcBorders>
            <w:shd w:val="clear" w:color="auto" w:fill="384184"/>
          </w:tcPr>
          <w:p w:rsidR="00520EB1" w:rsidRDefault="00520EB1" w:rsidP="00E306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20EB1" w:rsidTr="00E306C6">
        <w:trPr>
          <w:trHeight w:val="870"/>
        </w:trPr>
        <w:tc>
          <w:tcPr>
            <w:tcW w:w="5306" w:type="dxa"/>
            <w:tcBorders>
              <w:top w:val="single" w:sz="4" w:space="0" w:color="FFFEFD"/>
              <w:left w:val="nil"/>
              <w:bottom w:val="single" w:sz="4" w:space="0" w:color="181717"/>
              <w:right w:val="single" w:sz="4" w:space="0" w:color="181717"/>
            </w:tcBorders>
          </w:tcPr>
          <w:p w:rsidR="00520EB1" w:rsidRDefault="00520EB1" w:rsidP="00E306C6">
            <w:pPr>
              <w:spacing w:after="0" w:line="259" w:lineRule="auto"/>
              <w:ind w:left="0" w:right="0" w:firstLine="0"/>
              <w:jc w:val="left"/>
            </w:pPr>
            <w:r>
              <w:t>– studenci rozważają hipotetyczną sytuację (</w:t>
            </w:r>
            <w:r>
              <w:rPr>
                <w:i/>
              </w:rPr>
              <w:t>zażartowałem naturalnie</w:t>
            </w:r>
            <w:r>
              <w:t>)</w:t>
            </w:r>
          </w:p>
        </w:tc>
        <w:tc>
          <w:tcPr>
            <w:tcW w:w="4090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:rsidR="00520EB1" w:rsidRDefault="00520EB1" w:rsidP="00E306C6">
            <w:pPr>
              <w:spacing w:after="0" w:line="259" w:lineRule="auto"/>
              <w:ind w:left="170" w:right="0" w:hanging="170"/>
              <w:jc w:val="left"/>
            </w:pPr>
            <w:r>
              <w:t>– Raskolnikow tworzy całą teorię, rozwija ją w artykule, w dyskusjach, jest gotowy wprowadzić ją w czyn, rozmowa studentów upewnia go w postanowieniach</w:t>
            </w:r>
          </w:p>
        </w:tc>
      </w:tr>
    </w:tbl>
    <w:p w:rsidR="00B77D2C" w:rsidRDefault="00B77D2C">
      <w:bookmarkStart w:id="0" w:name="_GoBack"/>
      <w:bookmarkEnd w:id="0"/>
    </w:p>
    <w:sectPr w:rsidR="00B77D2C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30871"/>
    <w:multiLevelType w:val="hybridMultilevel"/>
    <w:tmpl w:val="1242EC48"/>
    <w:lvl w:ilvl="0" w:tplc="1BDC1EA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023862">
      <w:start w:val="1"/>
      <w:numFmt w:val="bullet"/>
      <w:lvlText w:val="–"/>
      <w:lvlJc w:val="left"/>
      <w:pPr>
        <w:ind w:left="5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8C0B24">
      <w:start w:val="1"/>
      <w:numFmt w:val="bullet"/>
      <w:lvlText w:val="▪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6AF96">
      <w:start w:val="1"/>
      <w:numFmt w:val="bullet"/>
      <w:lvlText w:val="•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EA945E">
      <w:start w:val="1"/>
      <w:numFmt w:val="bullet"/>
      <w:lvlText w:val="o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A862B2">
      <w:start w:val="1"/>
      <w:numFmt w:val="bullet"/>
      <w:lvlText w:val="▪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263F0C">
      <w:start w:val="1"/>
      <w:numFmt w:val="bullet"/>
      <w:lvlText w:val="•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40ADAE">
      <w:start w:val="1"/>
      <w:numFmt w:val="bullet"/>
      <w:lvlText w:val="o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6C9A92">
      <w:start w:val="1"/>
      <w:numFmt w:val="bullet"/>
      <w:lvlText w:val="▪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0C2F1E"/>
    <w:multiLevelType w:val="hybridMultilevel"/>
    <w:tmpl w:val="A11E6FC0"/>
    <w:lvl w:ilvl="0" w:tplc="79145254">
      <w:start w:val="1"/>
      <w:numFmt w:val="bullet"/>
      <w:lvlText w:val="–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327D1A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42CE7E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C42A86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448ED2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0244DA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24967A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7E8998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F876A2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B1"/>
    <w:rsid w:val="00520EB1"/>
    <w:rsid w:val="00B77D2C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D757D-67C0-4D3E-A058-86B71FDD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EB1"/>
    <w:pPr>
      <w:spacing w:after="5" w:line="248" w:lineRule="auto"/>
      <w:ind w:left="510" w:right="4" w:hanging="283"/>
      <w:jc w:val="both"/>
    </w:pPr>
    <w:rPr>
      <w:rFonts w:ascii="Calibri" w:eastAsia="Calibri" w:hAnsi="Calibri" w:cs="Calibri"/>
      <w:color w:val="181717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20EB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2020-04-21T14:21:00Z</dcterms:created>
  <dcterms:modified xsi:type="dcterms:W3CDTF">2020-04-21T14:22:00Z</dcterms:modified>
</cp:coreProperties>
</file>