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55" w:rsidRPr="00C85155" w:rsidRDefault="00C85155">
      <w:pPr>
        <w:rPr>
          <w:rFonts w:cs="Times New Roman"/>
          <w:b/>
          <w:szCs w:val="24"/>
        </w:rPr>
      </w:pPr>
      <w:proofErr w:type="spellStart"/>
      <w:r w:rsidRPr="00C85155">
        <w:rPr>
          <w:rFonts w:cs="Times New Roman"/>
          <w:b/>
          <w:szCs w:val="24"/>
        </w:rPr>
        <w:t>Amiokwasy</w:t>
      </w:r>
      <w:proofErr w:type="spellEnd"/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>Aminokwasy to związki dwufunkcyjne zawierające w swych cząsteczkach grupę karboksylową –COOH oraz grupę aminową –NH</w:t>
      </w:r>
      <w:r w:rsidRPr="00C85155">
        <w:rPr>
          <w:rFonts w:eastAsia="Times New Roman" w:cs="Times New Roman"/>
          <w:color w:val="000000"/>
          <w:szCs w:val="24"/>
          <w:bdr w:val="none" w:sz="0" w:space="0" w:color="auto" w:frame="1"/>
          <w:vertAlign w:val="subscript"/>
          <w:lang w:eastAsia="pl-PL"/>
        </w:rPr>
        <w:t>2</w:t>
      </w:r>
      <w:r w:rsidRPr="00C85155">
        <w:rPr>
          <w:rFonts w:eastAsia="Times New Roman" w:cs="Times New Roman"/>
          <w:color w:val="000000"/>
          <w:szCs w:val="24"/>
          <w:lang w:eastAsia="pl-PL"/>
        </w:rPr>
        <w:t>. Często stosowaną zasadą określającą wzajemne położenie grupy aminowej i karboksylowej jest oznaczenie atomów węgla w łańcuchu węglowodorowym kolejnymi literami greckimi: α, β, γ, δ.</w:t>
      </w:r>
    </w:p>
    <w:p w:rsidR="00C85155" w:rsidRPr="00C85155" w:rsidRDefault="00C85155" w:rsidP="00C85155">
      <w:pPr>
        <w:shd w:val="clear" w:color="auto" w:fill="FFFFFF"/>
        <w:spacing w:after="0" w:line="384" w:lineRule="atLeast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04AE4095" wp14:editId="2BF05279">
            <wp:extent cx="2724150" cy="895350"/>
            <wp:effectExtent l="0" t="0" r="0" b="0"/>
            <wp:docPr id="1" name="Obraz 1" descr="Aminokw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nokwas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>Biorąc pod u</w:t>
      </w:r>
      <w:r>
        <w:rPr>
          <w:rFonts w:eastAsia="Times New Roman" w:cs="Times New Roman"/>
          <w:color w:val="000000"/>
          <w:szCs w:val="24"/>
          <w:lang w:eastAsia="pl-PL"/>
        </w:rPr>
        <w:t>wagę różne kryteria podziału a</w:t>
      </w:r>
      <w:r w:rsidRPr="00C85155">
        <w:rPr>
          <w:rFonts w:eastAsia="Times New Roman" w:cs="Times New Roman"/>
          <w:color w:val="000000"/>
          <w:szCs w:val="24"/>
          <w:lang w:eastAsia="pl-PL"/>
        </w:rPr>
        <w:t>minokwasy dzielimy na:</w:t>
      </w:r>
    </w:p>
    <w:p w:rsidR="00C85155" w:rsidRPr="00C85155" w:rsidRDefault="00C85155" w:rsidP="00C85155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>białkowe i niebiałkowe,</w:t>
      </w:r>
    </w:p>
    <w:p w:rsidR="00C85155" w:rsidRPr="00C85155" w:rsidRDefault="00C85155" w:rsidP="00C85155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>alifatyczne, aromatyczne i heterocykliczne,</w:t>
      </w:r>
    </w:p>
    <w:p w:rsidR="00C85155" w:rsidRPr="00C85155" w:rsidRDefault="00C85155" w:rsidP="00C85155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>kwasowe, zasadowe i obojętne (zawierające niepolarne łańcuchy boczne lub polarne łańcuchy boczne z grupami funkcyjnymi niedysocjującymi).</w:t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>Poniżej podano wzory i nazwy przykładowych aminokwasów białkowych. Przy każdym</w:t>
      </w:r>
      <w:r w:rsidR="00C4684C">
        <w:rPr>
          <w:rFonts w:eastAsia="Times New Roman" w:cs="Times New Roman"/>
          <w:color w:val="000000"/>
          <w:szCs w:val="24"/>
          <w:lang w:eastAsia="pl-PL"/>
        </w:rPr>
        <w:t xml:space="preserve"> z nich znajduje się również</w:t>
      </w:r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 trzyliterowy skrót.</w:t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>Wszystkie aminokwasy białkowe w organi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zmie ludzkim są </w:t>
      </w:r>
      <w:r w:rsidRPr="00C8515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α-L-aminokwasami</w:t>
      </w:r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. Wyjątkiem jest glicyna, która nie tworzy izomerów optycznych (brak asymetrycznego atomu węgla w cząsteczce). Aminokwasy białkowe są więc optycznie czynne. </w:t>
      </w:r>
    </w:p>
    <w:p w:rsidR="00C85155" w:rsidRPr="00C85155" w:rsidRDefault="00C85155" w:rsidP="00C85155">
      <w:pPr>
        <w:shd w:val="clear" w:color="auto" w:fill="FFFFFF"/>
        <w:spacing w:after="0" w:line="384" w:lineRule="atLeast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3D98A43B" wp14:editId="23E12EB9">
            <wp:extent cx="5210175" cy="4419600"/>
            <wp:effectExtent l="0" t="0" r="9525" b="0"/>
            <wp:docPr id="2" name="Obraz 2" descr="Wzory aminokwa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zory aminokwas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lastRenderedPageBreak/>
        <w:t>Aminokwasy są ciałam</w:t>
      </w:r>
      <w:r w:rsidR="00C4684C">
        <w:rPr>
          <w:rFonts w:eastAsia="Times New Roman" w:cs="Times New Roman"/>
          <w:color w:val="000000"/>
          <w:szCs w:val="24"/>
          <w:lang w:eastAsia="pl-PL"/>
        </w:rPr>
        <w:t>i stałymi, krystalicznymi o</w:t>
      </w:r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 wysokiej temperaturze topnienia. W stanie stałym aminokwasy występują w postaci soli wew</w:t>
      </w:r>
      <w:r>
        <w:rPr>
          <w:rFonts w:eastAsia="Times New Roman" w:cs="Times New Roman"/>
          <w:color w:val="000000"/>
          <w:szCs w:val="24"/>
          <w:lang w:eastAsia="pl-PL"/>
        </w:rPr>
        <w:t xml:space="preserve">nętrznych, które zawierają </w:t>
      </w:r>
      <w:proofErr w:type="spellStart"/>
      <w:r>
        <w:rPr>
          <w:rFonts w:eastAsia="Times New Roman" w:cs="Times New Roman"/>
          <w:color w:val="000000"/>
          <w:szCs w:val="24"/>
          <w:lang w:eastAsia="pl-PL"/>
        </w:rPr>
        <w:t>tzw.</w:t>
      </w:r>
      <w:r w:rsidRPr="00C8515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jony</w:t>
      </w:r>
      <w:proofErr w:type="spellEnd"/>
      <w:r w:rsidRPr="00C8515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 obojnacze</w:t>
      </w:r>
      <w:r w:rsidRPr="00C85155">
        <w:rPr>
          <w:rFonts w:eastAsia="Times New Roman" w:cs="Times New Roman"/>
          <w:color w:val="000000"/>
          <w:szCs w:val="24"/>
          <w:lang w:eastAsia="pl-PL"/>
        </w:rPr>
        <w:t>, np.</w:t>
      </w:r>
      <w:r w:rsidRPr="00C85155">
        <w:rPr>
          <w:rFonts w:eastAsia="Times New Roman" w:cs="Times New Roman"/>
          <w:color w:val="000000"/>
          <w:szCs w:val="24"/>
          <w:lang w:eastAsia="pl-PL"/>
        </w:rPr>
        <w:br/>
      </w: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10CA2708" wp14:editId="36481DBF">
            <wp:extent cx="3467100" cy="1190625"/>
            <wp:effectExtent l="0" t="0" r="0" b="9525"/>
            <wp:docPr id="3" name="Obraz 3" descr="Jony obojnacze aminokwa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ny obojnacze aminokwas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>W wodnym roztworze aminokwasów zawierających jedną grupę karboksylową i jedną grupę aminową ustala się stan równowagi, w którym występują trzy formy jonowe:</w:t>
      </w:r>
      <w:r w:rsidRPr="00C85155">
        <w:rPr>
          <w:rFonts w:eastAsia="Times New Roman" w:cs="Times New Roman"/>
          <w:color w:val="000000"/>
          <w:szCs w:val="24"/>
          <w:lang w:eastAsia="pl-PL"/>
        </w:rPr>
        <w:br/>
      </w: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07A9F8F0" wp14:editId="1EBFCCC8">
            <wp:extent cx="5200650" cy="1019175"/>
            <wp:effectExtent l="0" t="0" r="0" b="9525"/>
            <wp:docPr id="4" name="Obraz 4" descr="Formy jonowe aminokwa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y jonowe aminokwas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W roztworze kwaśnym, przy małej wartości 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pH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, występuje kation, a w roztworze zasadowym, przy dużej wartości 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pH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, występuje anion. Wartość 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pH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 roztworu, przy której istnieje dokładna równowaga między formą kationową i anionową, i stężenie jonu obojnaczego jest największe, nosi nazwę punktu izoelektrycznego (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pI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). Zmiana 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pH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 roztworu wywołuje przesunięcie równowagi w stronę anionu (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pH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 &gt; 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pI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>) lub w stronę kationu (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pH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 &lt; 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pI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>). W punkcie izoelektrycznym aminokwas wykazuje minimum rozpuszczalności, lepkości oraz ruchliwości w polu elektrycznym, gdyż stężenie anionowej i kationowej formy jest minimalne i równe sobie.</w:t>
      </w:r>
    </w:p>
    <w:p w:rsid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>Ze względu na obecność w cząsteczce grupy funkcyjnej o właściwościach kwasowych (–COOH), jak i zasadowych (–NH2),aminokwas reaguje jak związek amfoteryczny</w:t>
      </w:r>
      <w:r w:rsidR="00C4684C">
        <w:rPr>
          <w:rFonts w:eastAsia="Times New Roman" w:cs="Times New Roman"/>
          <w:color w:val="000000"/>
          <w:szCs w:val="24"/>
          <w:lang w:eastAsia="pl-PL"/>
        </w:rPr>
        <w:t xml:space="preserve"> z mocną zasadą i mocnym kwasem</w:t>
      </w:r>
      <w:r w:rsidRPr="00C85155">
        <w:rPr>
          <w:rFonts w:eastAsia="Times New Roman" w:cs="Times New Roman"/>
          <w:color w:val="000000"/>
          <w:szCs w:val="24"/>
          <w:lang w:eastAsia="pl-PL"/>
        </w:rPr>
        <w:t>, np.</w:t>
      </w:r>
      <w:r w:rsidRPr="00C85155">
        <w:rPr>
          <w:rFonts w:eastAsia="Times New Roman" w:cs="Times New Roman"/>
          <w:color w:val="000000"/>
          <w:szCs w:val="24"/>
          <w:lang w:eastAsia="pl-PL"/>
        </w:rPr>
        <w:br/>
      </w: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3F1FD3F9" wp14:editId="4313BD97">
            <wp:extent cx="3581400" cy="1485900"/>
            <wp:effectExtent l="0" t="0" r="0" b="0"/>
            <wp:docPr id="5" name="Obraz 5" descr="Reakcja aminokwasu jak związku amfoter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kcja aminokwasu jak związku amfoteryczne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>Aminokwasy ulegają dekarboksylacji. Pod wpływem enzymu dekarboksylazy tworzy się tlenek węgla(IV) i odpowiednia amina I-rzędowa, np.:</w:t>
      </w:r>
      <w:r w:rsidRPr="00C85155">
        <w:rPr>
          <w:rFonts w:eastAsia="Times New Roman" w:cs="Times New Roman"/>
          <w:color w:val="000000"/>
          <w:szCs w:val="24"/>
          <w:lang w:eastAsia="pl-PL"/>
        </w:rPr>
        <w:br/>
      </w: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675D244B" wp14:editId="7B46344C">
            <wp:extent cx="4486275" cy="800100"/>
            <wp:effectExtent l="0" t="0" r="9525" b="0"/>
            <wp:docPr id="6" name="Obraz 6" descr="Dekarboksylacja aminokwa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karboksylacja aminokwas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>Aminokwasy reagują z kwasami tworząc estry, np.</w:t>
      </w:r>
      <w:r w:rsidRPr="00C85155">
        <w:rPr>
          <w:rFonts w:eastAsia="Times New Roman" w:cs="Times New Roman"/>
          <w:color w:val="000000"/>
          <w:szCs w:val="24"/>
          <w:lang w:eastAsia="pl-PL"/>
        </w:rPr>
        <w:br/>
      </w: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4F514CC2" wp14:editId="7CFA7FC5">
            <wp:extent cx="4905375" cy="704850"/>
            <wp:effectExtent l="0" t="0" r="9525" b="0"/>
            <wp:docPr id="7" name="Obraz 7" descr="Powstawanie estrów z aminokwa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stawanie estrów z aminokwasó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lastRenderedPageBreak/>
        <w:t xml:space="preserve">Dodatkowo wszystkie α–aminokwasy pod wpływem kwasu azotowego(III) ulegają 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dezaminacji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>, tworząc odpowiednio α–hydroksykwas i azot, np.</w:t>
      </w:r>
      <w:r w:rsidRPr="00C85155">
        <w:rPr>
          <w:rFonts w:eastAsia="Times New Roman" w:cs="Times New Roman"/>
          <w:color w:val="000000"/>
          <w:szCs w:val="24"/>
          <w:lang w:eastAsia="pl-PL"/>
        </w:rPr>
        <w:br/>
      </w: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3104ABD8" wp14:editId="1B4139F0">
            <wp:extent cx="4067175" cy="561975"/>
            <wp:effectExtent l="0" t="0" r="9525" b="9525"/>
            <wp:docPr id="8" name="Obraz 8" descr="Dezaminacja aminokw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zaminacja aminokwas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Reakcja ta nosi nazwę </w:t>
      </w:r>
      <w:r w:rsidRPr="00C8515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reakcji van </w:t>
      </w:r>
      <w:proofErr w:type="spellStart"/>
      <w:r w:rsidRPr="00C8515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Slyke’a</w:t>
      </w:r>
      <w:proofErr w:type="spellEnd"/>
      <w:r w:rsidR="00C4684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i pozwala na ilościowe oznaczenie aminokwasu w układzie. Reakcja ta jest przykładem 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synproporcjonowania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>:</w:t>
      </w:r>
      <w:r w:rsidRPr="00C85155">
        <w:rPr>
          <w:rFonts w:eastAsia="Times New Roman" w:cs="Times New Roman"/>
          <w:color w:val="000000"/>
          <w:szCs w:val="24"/>
          <w:lang w:eastAsia="pl-PL"/>
        </w:rPr>
        <w:br/>
      </w: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30587611" wp14:editId="4CB647C3">
            <wp:extent cx="4391025" cy="1028700"/>
            <wp:effectExtent l="0" t="0" r="9525" b="0"/>
            <wp:docPr id="9" name="Obraz 9" descr="Synproporcjonowanie aminokwa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ynproporcjonowanie aminokwasó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Charakterystyczną właściwością </w:t>
      </w:r>
      <w:r w:rsidRPr="00C8515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β–aminokwasów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85155">
        <w:rPr>
          <w:rFonts w:eastAsia="Times New Roman" w:cs="Times New Roman"/>
          <w:color w:val="000000"/>
          <w:szCs w:val="24"/>
          <w:lang w:eastAsia="pl-PL"/>
        </w:rPr>
        <w:t>jest tworzenieα, β-nienasyconych kwasów na drodze eliminacji cząsteczki amoniaku, np.</w:t>
      </w:r>
      <w:r w:rsidRPr="00C85155">
        <w:rPr>
          <w:rFonts w:eastAsia="Times New Roman" w:cs="Times New Roman"/>
          <w:color w:val="000000"/>
          <w:szCs w:val="24"/>
          <w:lang w:eastAsia="pl-PL"/>
        </w:rPr>
        <w:br/>
      </w: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07EBD8AA" wp14:editId="7DE3968B">
            <wp:extent cx="5086350" cy="704850"/>
            <wp:effectExtent l="0" t="0" r="0" b="0"/>
            <wp:docPr id="10" name="Obraz 10" descr="tworzenie α,β-nienasyconych kwa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worzenie α,β-nienasyconych kwasó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Z kolei </w:t>
      </w:r>
      <w:r w:rsidR="005A733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γ</w:t>
      </w:r>
      <w:r w:rsidRPr="00C8515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–aminokwasy</w:t>
      </w:r>
      <w:r w:rsidR="00C4684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85155">
        <w:rPr>
          <w:rFonts w:eastAsia="Times New Roman" w:cs="Times New Roman"/>
          <w:color w:val="000000"/>
          <w:szCs w:val="24"/>
          <w:lang w:eastAsia="pl-PL"/>
        </w:rPr>
        <w:t>ulegają cyklizacji tworząc laktamy, czyli cykliczne amidy (odpowiednie oddalenie grup funkcyjnych warunkuje wewnątrzcząsteczkową kondensację), np.</w:t>
      </w:r>
      <w:r w:rsidRPr="00C85155">
        <w:rPr>
          <w:rFonts w:eastAsia="Times New Roman" w:cs="Times New Roman"/>
          <w:color w:val="000000"/>
          <w:szCs w:val="24"/>
          <w:lang w:eastAsia="pl-PL"/>
        </w:rPr>
        <w:br/>
      </w: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1F1359D2" wp14:editId="44698290">
            <wp:extent cx="5191125" cy="695325"/>
            <wp:effectExtent l="0" t="0" r="9525" b="9525"/>
            <wp:docPr id="11" name="Obraz 11" descr="Powstawanie laktamów poprzez cyklizacj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wstawanie laktamów poprzez cyklizację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b/>
          <w:color w:val="000000"/>
          <w:szCs w:val="24"/>
          <w:lang w:eastAsia="pl-PL"/>
        </w:rPr>
      </w:pPr>
      <w:r w:rsidRPr="00C85155">
        <w:rPr>
          <w:rFonts w:eastAsia="Times New Roman" w:cs="Times New Roman"/>
          <w:b/>
          <w:color w:val="000000"/>
          <w:szCs w:val="24"/>
          <w:lang w:eastAsia="pl-PL"/>
        </w:rPr>
        <w:t>Reakcje kondensacji aminokwasów</w:t>
      </w:r>
    </w:p>
    <w:p w:rsidR="00C85155" w:rsidRPr="00C85155" w:rsidRDefault="00C85155" w:rsidP="00C85155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C85155">
        <w:rPr>
          <w:rFonts w:eastAsia="Times New Roman" w:cs="Times New Roman"/>
          <w:color w:val="000000"/>
          <w:szCs w:val="24"/>
          <w:lang w:eastAsia="pl-PL"/>
        </w:rPr>
        <w:t xml:space="preserve">Szczególna właściwość aminokwasów wiąże się ze zdolnością ich cząsteczek do łączenia się z sobą w większe ugrupowania. W reakcji kondensacji cząsteczki glicyny i alaniny można uzyskać </w:t>
      </w:r>
      <w:proofErr w:type="spellStart"/>
      <w:r w:rsidRPr="00C85155">
        <w:rPr>
          <w:rFonts w:eastAsia="Times New Roman" w:cs="Times New Roman"/>
          <w:color w:val="000000"/>
          <w:szCs w:val="24"/>
          <w:lang w:eastAsia="pl-PL"/>
        </w:rPr>
        <w:t>dipeptydy</w:t>
      </w:r>
      <w:proofErr w:type="spellEnd"/>
      <w:r w:rsidRPr="00C85155">
        <w:rPr>
          <w:rFonts w:eastAsia="Times New Roman" w:cs="Times New Roman"/>
          <w:color w:val="000000"/>
          <w:szCs w:val="24"/>
          <w:lang w:eastAsia="pl-PL"/>
        </w:rPr>
        <w:t>, np.</w:t>
      </w:r>
      <w:bookmarkStart w:id="0" w:name="_GoBack"/>
      <w:bookmarkEnd w:id="0"/>
      <w:r w:rsidR="00C4684C" w:rsidRPr="00C85155">
        <w:rPr>
          <w:rFonts w:eastAsia="Times New Roman" w:cs="Times New Roman"/>
          <w:noProof/>
          <w:color w:val="000000"/>
          <w:szCs w:val="24"/>
          <w:lang w:eastAsia="pl-PL"/>
        </w:rPr>
        <w:t xml:space="preserve"> </w:t>
      </w: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1EC2ADC6" wp14:editId="2D914824">
            <wp:extent cx="4914900" cy="704850"/>
            <wp:effectExtent l="0" t="0" r="0" b="0"/>
            <wp:docPr id="12" name="Obraz 12" descr="Uzyskiwanie dipepty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zyskiwanie dipeptydó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55">
        <w:rPr>
          <w:rFonts w:eastAsia="Times New Roman" w:cs="Times New Roman"/>
          <w:color w:val="000000"/>
          <w:szCs w:val="24"/>
          <w:lang w:eastAsia="pl-PL"/>
        </w:rPr>
        <w:br/>
      </w:r>
      <w:r w:rsidRPr="00C851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3989644C" wp14:editId="66D97B91">
            <wp:extent cx="4981575" cy="733425"/>
            <wp:effectExtent l="0" t="0" r="9525" b="9525"/>
            <wp:docPr id="13" name="Obraz 13" descr="Wiązanie pepty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ązanie peptydow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55" w:rsidRPr="00C85155" w:rsidRDefault="00C85155">
      <w:pPr>
        <w:rPr>
          <w:rFonts w:cs="Times New Roman"/>
          <w:szCs w:val="24"/>
        </w:rPr>
      </w:pPr>
    </w:p>
    <w:sectPr w:rsidR="00C85155" w:rsidRPr="00C85155" w:rsidSect="00C85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0E46"/>
    <w:multiLevelType w:val="multilevel"/>
    <w:tmpl w:val="7B40C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55"/>
    <w:rsid w:val="002710AC"/>
    <w:rsid w:val="005A7336"/>
    <w:rsid w:val="00820DF3"/>
    <w:rsid w:val="00C4684C"/>
    <w:rsid w:val="00C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3</cp:revision>
  <dcterms:created xsi:type="dcterms:W3CDTF">2020-04-03T11:20:00Z</dcterms:created>
  <dcterms:modified xsi:type="dcterms:W3CDTF">2020-04-06T08:46:00Z</dcterms:modified>
</cp:coreProperties>
</file>