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D5" w:rsidRPr="009701D5" w:rsidRDefault="009701D5" w:rsidP="009701D5">
      <w:pPr>
        <w:shd w:val="clear" w:color="auto" w:fill="FFFFFF"/>
        <w:spacing w:after="88" w:line="177" w:lineRule="atLeast"/>
        <w:outlineLvl w:val="2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Zasada działania wyłącznika różnicowoprądowego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 xml:space="preserve">Wyłącznik różnicowoprądowy (pot. 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różnicówka</w:t>
      </w:r>
      <w:proofErr w:type="spellEnd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) jest urządzeniem realizującym samoczynne wyłączenie zasilania w przypadku porażenia lub uszkodzenia izolacji. Działanie wyłącznika opiera się na pomiarze całkowitego prądu wpływającego przewodami fazowymi i wypływającego przewodem neutralnym. Człon pomiarowy wyłącznika, oparty o przekładnik Ferrantiego mierzy sumę geometryczną prądów przepływających przez wyłącznik. Suma ta w poprawnie działającej instalacji elektrycznej wynosi zero.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L1</w:t>
      </w: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 + 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L2</w:t>
      </w: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 + 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L3</w:t>
      </w: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 + 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N</w:t>
      </w: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 = 0</w:t>
      </w:r>
    </w:p>
    <w:p w:rsidR="009701D5" w:rsidRPr="009701D5" w:rsidRDefault="009701D5" w:rsidP="009701D5">
      <w:pPr>
        <w:shd w:val="clear" w:color="auto" w:fill="F3F3F3"/>
        <w:spacing w:after="0" w:line="177" w:lineRule="atLeast"/>
        <w:jc w:val="center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noProof/>
          <w:color w:val="292929"/>
          <w:sz w:val="20"/>
          <w:szCs w:val="20"/>
          <w:lang w:eastAsia="pl-PL"/>
        </w:rPr>
        <w:drawing>
          <wp:inline distT="0" distB="0" distL="0" distR="0">
            <wp:extent cx="2861310" cy="1688465"/>
            <wp:effectExtent l="19050" t="0" r="0" b="0"/>
            <wp:docPr id="8" name="Obraz 1" descr="schemat blo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 blok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D5" w:rsidRPr="009701D5" w:rsidRDefault="009701D5" w:rsidP="009701D5">
      <w:pPr>
        <w:shd w:val="clear" w:color="auto" w:fill="F3F3F3"/>
        <w:spacing w:after="88" w:line="150" w:lineRule="atLeast"/>
        <w:jc w:val="center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Schemat blokowy wyłącznika różnicowoprądowego.</w:t>
      </w: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br/>
        <w:t>A – człon pomiarowy, B – człon wzmacniający, C – człon wyłączający, D – człon kontrolny, R – rezystor kontrolny, T – przycisk testujący, 1 – rdzeń przekładnika Ferrantiego, 2 – uzwojenie wtórne przekładnika Ferrantiego, 3 – zamek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Suma geometryczna prądów płynących przez wyłącznik różnicowoprądowy jest nazywana prądem różnicowym lub upływowym (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ΔI</w:t>
      </w:r>
      <w:proofErr w:type="spellEnd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). Każdy wyłącznik ma określony prąd różnicowy znamionowy (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ΔI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n</w:t>
      </w:r>
      <w:proofErr w:type="spellEnd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), który określa wartość prądu różnicowego przy jakim wyłącznik zadziała w czasie &lt;20ms.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A więc, jeżeli nastąpi uszkodzenie w odbiorniku i część prądu o wartości większej niż prąd różnicowy znamionowy wyłącznika, przez obudowę przepłynie do ziemi, nastąpi wyłączenie zasilania.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Przy ochronie przeciwporażeniowej powinno się stosować wyłączniki o prądzie różnicowym znamionowym nie większym niż 30mA (ΔI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n</w:t>
      </w: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≤30mA). Wyłącznik różnicowoprądowy stanowi uzupełnienie ochrony przed dotykiem bezpośrednim lub może być urządzeniem realizującym samoczynne wyłączenie zasilania przy ochronie przed dotykiem pośrednim (ochrona przy uszkodzeniu).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Każdy wyłącznik różnicowoprądowy posiada kilka parametrów charakteryzujących go:</w:t>
      </w:r>
    </w:p>
    <w:p w:rsidR="009701D5" w:rsidRPr="009701D5" w:rsidRDefault="009701D5" w:rsidP="0097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 xml:space="preserve">napięcie znamionowe 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U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n</w:t>
      </w:r>
      <w:proofErr w:type="spellEnd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 [V]</w:t>
      </w:r>
    </w:p>
    <w:p w:rsidR="009701D5" w:rsidRPr="009701D5" w:rsidRDefault="009701D5" w:rsidP="0097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lastRenderedPageBreak/>
        <w:t>prąd znamionowy różnicowy 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ΔI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n</w:t>
      </w:r>
      <w:proofErr w:type="spellEnd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 [A]</w:t>
      </w:r>
    </w:p>
    <w:p w:rsidR="009701D5" w:rsidRPr="009701D5" w:rsidRDefault="009701D5" w:rsidP="0097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prąd znamionowy długotrwały 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n</w:t>
      </w: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 [A]</w:t>
      </w:r>
    </w:p>
    <w:p w:rsidR="009701D5" w:rsidRPr="009701D5" w:rsidRDefault="009701D5" w:rsidP="0097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typ wyłącznika: A, AC, B</w:t>
      </w:r>
    </w:p>
    <w:p w:rsidR="009701D5" w:rsidRPr="009701D5" w:rsidRDefault="009701D5" w:rsidP="0097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 xml:space="preserve">rodzaj wyzwalacza: np. selektywny (S), 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krótkozwłoczny</w:t>
      </w:r>
      <w:proofErr w:type="spellEnd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 xml:space="preserve"> (G)</w:t>
      </w:r>
    </w:p>
    <w:p w:rsidR="009701D5" w:rsidRPr="009701D5" w:rsidRDefault="009701D5" w:rsidP="0097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 xml:space="preserve">wytrzymałość zwarciowa 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I</w:t>
      </w:r>
      <w:r w:rsidRPr="009701D5">
        <w:rPr>
          <w:rFonts w:ascii="Arial" w:eastAsia="Times New Roman" w:hAnsi="Arial" w:cs="Arial"/>
          <w:color w:val="292929"/>
          <w:sz w:val="20"/>
          <w:szCs w:val="20"/>
          <w:vertAlign w:val="subscript"/>
          <w:lang w:eastAsia="pl-PL"/>
        </w:rPr>
        <w:t>cn</w:t>
      </w:r>
      <w:proofErr w:type="spellEnd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 [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kA</w:t>
      </w:r>
      <w:proofErr w:type="spellEnd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]</w:t>
      </w:r>
    </w:p>
    <w:p w:rsidR="009701D5" w:rsidRDefault="009701D5" w:rsidP="009701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2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częstotliwość znamionowa [Hz]</w:t>
      </w:r>
    </w:p>
    <w:p w:rsidR="009701D5" w:rsidRDefault="009701D5" w:rsidP="009701D5">
      <w:pPr>
        <w:shd w:val="clear" w:color="auto" w:fill="FFFFFF"/>
        <w:spacing w:before="100" w:beforeAutospacing="1" w:after="100" w:afterAutospacing="1" w:line="212" w:lineRule="atLeast"/>
        <w:ind w:left="720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212" w:lineRule="atLeast"/>
        <w:ind w:left="720"/>
        <w:rPr>
          <w:rFonts w:ascii="Arial" w:eastAsia="Times New Roman" w:hAnsi="Arial" w:cs="Arial"/>
          <w:color w:val="292929"/>
          <w:sz w:val="28"/>
          <w:szCs w:val="28"/>
          <w:lang w:eastAsia="pl-PL"/>
        </w:rPr>
      </w:pP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b/>
          <w:color w:val="292929"/>
          <w:sz w:val="28"/>
          <w:szCs w:val="28"/>
          <w:lang w:eastAsia="pl-PL"/>
        </w:rPr>
      </w:pPr>
      <w:r w:rsidRPr="009701D5">
        <w:rPr>
          <w:rFonts w:ascii="Arial" w:eastAsia="Times New Roman" w:hAnsi="Arial" w:cs="Arial"/>
          <w:b/>
          <w:color w:val="292929"/>
          <w:sz w:val="28"/>
          <w:szCs w:val="28"/>
          <w:lang w:eastAsia="pl-PL"/>
        </w:rPr>
        <w:t>Działanie wyłącznika różnicowoprądowego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Wyłącznik różnicowoprądowy może zadziałać tylko w określonych przypadkach: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W przypadku zwarcia przewodu fazowego lub neutralnego z obudową urządzenia. W takim przypadku przez obudowę chronionego urządzenia przepływa prąd zwarciowy i wyłącznik zadziała jeżeli zostanie spełniony warunek:</w:t>
      </w: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br/>
        <w:t xml:space="preserve">IL1 + IL2 + IL3 + IN ≥ </w:t>
      </w:r>
      <w:proofErr w:type="spellStart"/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ΔIn</w:t>
      </w:r>
      <w:proofErr w:type="spellEnd"/>
    </w:p>
    <w:p w:rsidR="009701D5" w:rsidRPr="009701D5" w:rsidRDefault="009701D5" w:rsidP="009701D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Gdy izolacja w chronionej instalacji ulegnie pogorszeniu lub uszkodzeniu. Wyłącznik zadziała jeżeli jej rezystancja zmniejszy się do wartości przy której prąd upływu będzie większy niż znamionowy prąd różnicowy wyłącznika.</w:t>
      </w:r>
    </w:p>
    <w:p w:rsidR="009701D5" w:rsidRPr="009701D5" w:rsidRDefault="009701D5" w:rsidP="009701D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W przypadku dotyku bezpośredniego części czynnych będących pod napięciem – przez osobę rażoną przepłynie prąd i wyłącznik zadziała w czasie mniejszym niż 20ms.</w:t>
      </w:r>
    </w:p>
    <w:p w:rsidR="009701D5" w:rsidRPr="009701D5" w:rsidRDefault="009701D5" w:rsidP="009701D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Wyłącznik różnicowoprądowy nie zadziała w przypadku zwarcia między przewodem fazowym a neutralnym. Nie stanowi on zabezpieczenia zwarciowego i przeciążeniowego, dlatego w instalacji musi być stosowany razem z dodatkowymi zabezpieczeniami zwarciowymi i nadmiarowo-prądowymi.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Wyłączniki różnicowoprądowe stanowią doskonałą ochronę dodatkową osób i urządzeń i powinny być jak najszerzej stosowane. Jeżeli wyłącznik różnicowoprądowy nie pozwala załączyć jakiegoś obwodu tzn. że gdzieś w danym obwodzie jest upływ prądu – np. na obudowę urządzenia. Nie należy w takim wypadku pomijać urządzenia ochronnego jakim jest wyłącznik różnicowoprądowy, ale w pierwszej kolejności znaleźć przyczynę nieprawidłowej pracy instalacji. Bezpieczeństwo użytkowników instalacji elektrycznej musi być na pierwszym miejscu.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177" w:lineRule="atLeast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  <w:r w:rsidRPr="009701D5">
        <w:rPr>
          <w:rFonts w:ascii="Arial" w:eastAsia="Times New Roman" w:hAnsi="Arial" w:cs="Arial"/>
          <w:color w:val="292929"/>
          <w:sz w:val="20"/>
          <w:szCs w:val="20"/>
          <w:lang w:eastAsia="pl-PL"/>
        </w:rPr>
        <w:t>Oczywiście każdy wyłącznik różnicowoprądowy musi być dobrany przez projektanta przy uwzględnieniu dopuszczalnego prądu upływu urządzeń. W instalacji elektrycznej mogą być stosowane wyłączniki o znamionowym prądzie różnicowym &gt;30mA, ale nie stanowią one wtedy środka ochrony uzupełniającej przy dotyku bezpośrednim. Są jednak doskonałym środkiem ochrony od porażeń przy uszkodzeniu.</w:t>
      </w:r>
    </w:p>
    <w:p w:rsidR="009701D5" w:rsidRPr="009701D5" w:rsidRDefault="009701D5" w:rsidP="009701D5">
      <w:pPr>
        <w:shd w:val="clear" w:color="auto" w:fill="FFFFFF"/>
        <w:spacing w:before="100" w:beforeAutospacing="1" w:after="100" w:afterAutospacing="1" w:line="212" w:lineRule="atLeast"/>
        <w:ind w:left="720"/>
        <w:rPr>
          <w:rFonts w:ascii="Arial" w:eastAsia="Times New Roman" w:hAnsi="Arial" w:cs="Arial"/>
          <w:color w:val="292929"/>
          <w:sz w:val="20"/>
          <w:szCs w:val="20"/>
          <w:lang w:eastAsia="pl-PL"/>
        </w:rPr>
      </w:pPr>
    </w:p>
    <w:p w:rsidR="00C25C77" w:rsidRPr="009701D5" w:rsidRDefault="009701D5">
      <w:pPr>
        <w:rPr>
          <w:sz w:val="20"/>
          <w:szCs w:val="20"/>
        </w:rPr>
      </w:pPr>
    </w:p>
    <w:sectPr w:rsidR="00C25C77" w:rsidRPr="009701D5" w:rsidSect="00970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353A"/>
    <w:multiLevelType w:val="multilevel"/>
    <w:tmpl w:val="79948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0780C"/>
    <w:multiLevelType w:val="multilevel"/>
    <w:tmpl w:val="5E7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F39C5"/>
    <w:multiLevelType w:val="hybridMultilevel"/>
    <w:tmpl w:val="8006E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1D5"/>
    <w:rsid w:val="000F3D7D"/>
    <w:rsid w:val="009701D5"/>
    <w:rsid w:val="009E1B35"/>
    <w:rsid w:val="00FD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1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Wis</dc:creator>
  <cp:lastModifiedBy>Tomasz Wis</cp:lastModifiedBy>
  <cp:revision>1</cp:revision>
  <dcterms:created xsi:type="dcterms:W3CDTF">2020-04-11T16:55:00Z</dcterms:created>
  <dcterms:modified xsi:type="dcterms:W3CDTF">2020-04-11T16:58:00Z</dcterms:modified>
</cp:coreProperties>
</file>