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88" w:rsidRPr="00016A14" w:rsidRDefault="002F3C88" w:rsidP="002F3C88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016A14">
        <w:rPr>
          <w:rFonts w:ascii="Times New Roman" w:hAnsi="Times New Roman"/>
          <w:b/>
          <w:i/>
          <w:sz w:val="24"/>
          <w:szCs w:val="24"/>
        </w:rPr>
        <w:t>Przykładowa odpowiedź do ćw. 5. ze s. 70 podręcznika</w:t>
      </w:r>
    </w:p>
    <w:p w:rsidR="002F3C88" w:rsidRDefault="002F3C88" w:rsidP="002F3C88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4130"/>
        <w:gridCol w:w="3072"/>
      </w:tblGrid>
      <w:tr w:rsidR="002F3C88" w:rsidRPr="00153061" w:rsidTr="00D45407">
        <w:tc>
          <w:tcPr>
            <w:tcW w:w="1026" w:type="pct"/>
            <w:shd w:val="clear" w:color="auto" w:fill="auto"/>
            <w:vAlign w:val="center"/>
          </w:tcPr>
          <w:p w:rsidR="002F3C88" w:rsidRPr="00153061" w:rsidRDefault="002F3C88" w:rsidP="00D45407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061">
              <w:rPr>
                <w:rFonts w:ascii="Times New Roman" w:hAnsi="Times New Roman"/>
                <w:b/>
                <w:sz w:val="24"/>
                <w:szCs w:val="24"/>
              </w:rPr>
              <w:t>Środek retoryczny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2F3C88" w:rsidRPr="00153061" w:rsidRDefault="002F3C88" w:rsidP="00D45407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061">
              <w:rPr>
                <w:rFonts w:ascii="Times New Roman" w:hAnsi="Times New Roman"/>
                <w:b/>
                <w:sz w:val="24"/>
                <w:szCs w:val="24"/>
              </w:rPr>
              <w:t>Przykład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2F3C88" w:rsidRPr="00153061" w:rsidRDefault="002F3C88" w:rsidP="00D45407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061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</w:tc>
      </w:tr>
      <w:tr w:rsidR="002F3C88" w:rsidRPr="00153061" w:rsidTr="00D45407">
        <w:tc>
          <w:tcPr>
            <w:tcW w:w="1026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061">
              <w:rPr>
                <w:rFonts w:ascii="Times New Roman" w:hAnsi="Times New Roman"/>
                <w:sz w:val="24"/>
                <w:szCs w:val="24"/>
              </w:rPr>
              <w:t>anafora</w:t>
            </w:r>
          </w:p>
        </w:tc>
        <w:tc>
          <w:tcPr>
            <w:tcW w:w="2279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E8547D">
              <w:rPr>
                <w:rFonts w:ascii="Times New Roman" w:hAnsi="Times New Roman"/>
                <w:sz w:val="24"/>
                <w:szCs w:val="24"/>
              </w:rPr>
              <w:t>Ta matka</w:t>
            </w:r>
            <w:r w:rsidRPr="00153061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153061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E8547D">
              <w:rPr>
                <w:rFonts w:ascii="Times New Roman" w:hAnsi="Times New Roman"/>
                <w:sz w:val="24"/>
                <w:szCs w:val="24"/>
              </w:rPr>
              <w:t>Ta matka</w:t>
            </w:r>
            <w:r w:rsidRPr="00153061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15306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95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zwrócenie uwagi na treść</w:t>
            </w:r>
          </w:p>
        </w:tc>
      </w:tr>
      <w:tr w:rsidR="002F3C88" w:rsidRPr="00153061" w:rsidTr="00D45407">
        <w:tc>
          <w:tcPr>
            <w:tcW w:w="1026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061">
              <w:rPr>
                <w:rFonts w:ascii="Times New Roman" w:hAnsi="Times New Roman"/>
                <w:sz w:val="24"/>
                <w:szCs w:val="24"/>
              </w:rPr>
              <w:t>pytanie retoryczne</w:t>
            </w:r>
          </w:p>
        </w:tc>
        <w:tc>
          <w:tcPr>
            <w:tcW w:w="2279" w:type="pct"/>
            <w:shd w:val="clear" w:color="auto" w:fill="auto"/>
          </w:tcPr>
          <w:p w:rsidR="002F3C88" w:rsidRPr="00E8547D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547D">
              <w:rPr>
                <w:rFonts w:ascii="Times New Roman" w:hAnsi="Times New Roman"/>
                <w:sz w:val="24"/>
                <w:szCs w:val="24"/>
              </w:rPr>
              <w:t>„Cóż wam więcej uczynić mogła?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95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061">
              <w:rPr>
                <w:rFonts w:ascii="Times New Roman" w:hAnsi="Times New Roman"/>
                <w:sz w:val="24"/>
                <w:szCs w:val="24"/>
              </w:rPr>
              <w:t>zmuszenie odbiorcy do zastanowienia się nad poruszaną kwestią, pobudzenie do przemyśleń</w:t>
            </w:r>
          </w:p>
        </w:tc>
      </w:tr>
      <w:tr w:rsidR="002F3C88" w:rsidRPr="00153061" w:rsidTr="00D45407">
        <w:tc>
          <w:tcPr>
            <w:tcW w:w="1026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wykrzyknienie</w:t>
            </w:r>
          </w:p>
        </w:tc>
        <w:tc>
          <w:tcPr>
            <w:tcW w:w="2279" w:type="pct"/>
            <w:shd w:val="clear" w:color="auto" w:fill="auto"/>
          </w:tcPr>
          <w:p w:rsidR="002F3C88" w:rsidRPr="00E8547D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E8547D">
              <w:rPr>
                <w:rFonts w:ascii="Times New Roman" w:hAnsi="Times New Roman"/>
                <w:sz w:val="24"/>
                <w:szCs w:val="24"/>
              </w:rPr>
              <w:t>Toć są głosy i wołania ich do was: zmiłujcież się nad nami!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95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wyrażenie postawy emocjonalnej podmiotu</w:t>
            </w:r>
          </w:p>
        </w:tc>
      </w:tr>
      <w:tr w:rsidR="002F3C88" w:rsidRPr="00153061" w:rsidTr="00D45407">
        <w:tc>
          <w:tcPr>
            <w:tcW w:w="1026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061">
              <w:rPr>
                <w:rFonts w:ascii="Times New Roman" w:hAnsi="Times New Roman"/>
                <w:sz w:val="24"/>
                <w:szCs w:val="24"/>
              </w:rPr>
              <w:t>inwers</w:t>
            </w:r>
            <w:r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2279" w:type="pct"/>
            <w:shd w:val="clear" w:color="auto" w:fill="auto"/>
          </w:tcPr>
          <w:p w:rsidR="002F3C88" w:rsidRPr="00E8547D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547D">
              <w:rPr>
                <w:rFonts w:ascii="Times New Roman" w:hAnsi="Times New Roman"/>
                <w:sz w:val="24"/>
                <w:szCs w:val="24"/>
              </w:rPr>
              <w:t>„Ona jej od fałszywych nauk i jadów heretyckich obroniła”.</w:t>
            </w:r>
          </w:p>
        </w:tc>
        <w:tc>
          <w:tcPr>
            <w:tcW w:w="1695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061">
              <w:rPr>
                <w:rFonts w:ascii="Times New Roman" w:hAnsi="Times New Roman"/>
                <w:sz w:val="24"/>
                <w:szCs w:val="24"/>
              </w:rPr>
              <w:t>zróżnicowanie wypowiedzi</w:t>
            </w:r>
            <w:r>
              <w:rPr>
                <w:rFonts w:ascii="Times New Roman" w:hAnsi="Times New Roman"/>
                <w:sz w:val="24"/>
                <w:szCs w:val="24"/>
              </w:rPr>
              <w:t>, uwydatnienie znaczenia pewnych słów</w:t>
            </w:r>
          </w:p>
        </w:tc>
      </w:tr>
      <w:tr w:rsidR="002F3C88" w:rsidRPr="00153061" w:rsidTr="00D45407">
        <w:tc>
          <w:tcPr>
            <w:tcW w:w="1026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061">
              <w:rPr>
                <w:rFonts w:ascii="Times New Roman" w:hAnsi="Times New Roman"/>
                <w:sz w:val="24"/>
                <w:szCs w:val="24"/>
              </w:rPr>
              <w:t>apostrofa</w:t>
            </w:r>
          </w:p>
        </w:tc>
        <w:tc>
          <w:tcPr>
            <w:tcW w:w="2279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E8547D">
              <w:rPr>
                <w:rFonts w:ascii="Times New Roman" w:hAnsi="Times New Roman"/>
                <w:sz w:val="24"/>
                <w:szCs w:val="24"/>
              </w:rPr>
              <w:t>Żaden z was, Przezacni Panowie, nie jest tak prosty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[...]”.</w:t>
            </w:r>
          </w:p>
        </w:tc>
        <w:tc>
          <w:tcPr>
            <w:tcW w:w="1695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perswazyjna, nadanie podniosłego tonu; zwrócenie się do konkretnego adresata</w:t>
            </w:r>
          </w:p>
        </w:tc>
      </w:tr>
      <w:tr w:rsidR="002F3C88" w:rsidRPr="00153061" w:rsidTr="00D45407">
        <w:tc>
          <w:tcPr>
            <w:tcW w:w="1026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061">
              <w:rPr>
                <w:rFonts w:ascii="Times New Roman" w:hAnsi="Times New Roman"/>
                <w:sz w:val="24"/>
                <w:szCs w:val="24"/>
              </w:rPr>
              <w:t>porównanie</w:t>
            </w:r>
          </w:p>
        </w:tc>
        <w:tc>
          <w:tcPr>
            <w:tcW w:w="2279" w:type="pct"/>
            <w:shd w:val="clear" w:color="auto" w:fill="auto"/>
          </w:tcPr>
          <w:p w:rsidR="002F3C88" w:rsidRPr="00E8547D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547D">
              <w:rPr>
                <w:rFonts w:ascii="Times New Roman" w:hAnsi="Times New Roman"/>
                <w:sz w:val="24"/>
                <w:szCs w:val="24"/>
              </w:rPr>
              <w:t xml:space="preserve">„Jako ciała nasze </w:t>
            </w:r>
            <w:proofErr w:type="spellStart"/>
            <w:r w:rsidRPr="00E8547D">
              <w:rPr>
                <w:rFonts w:ascii="Times New Roman" w:hAnsi="Times New Roman"/>
                <w:sz w:val="24"/>
                <w:szCs w:val="24"/>
              </w:rPr>
              <w:t>abo</w:t>
            </w:r>
            <w:proofErr w:type="spellEnd"/>
            <w:r w:rsidRPr="00E8547D">
              <w:rPr>
                <w:rFonts w:ascii="Times New Roman" w:hAnsi="Times New Roman"/>
                <w:sz w:val="24"/>
                <w:szCs w:val="24"/>
              </w:rPr>
              <w:t xml:space="preserve"> wewnętrznymi chorobami, </w:t>
            </w:r>
            <w:proofErr w:type="spellStart"/>
            <w:r w:rsidRPr="00E8547D">
              <w:rPr>
                <w:rFonts w:ascii="Times New Roman" w:hAnsi="Times New Roman"/>
                <w:sz w:val="24"/>
                <w:szCs w:val="24"/>
              </w:rPr>
              <w:t>abo</w:t>
            </w:r>
            <w:proofErr w:type="spellEnd"/>
            <w:r w:rsidRPr="00E8547D">
              <w:rPr>
                <w:rFonts w:ascii="Times New Roman" w:hAnsi="Times New Roman"/>
                <w:sz w:val="24"/>
                <w:szCs w:val="24"/>
              </w:rPr>
              <w:t xml:space="preserve"> powierzchnymi gwałtownymi przypadkami umierają, tak i królestwa mają swoje domowe choroby [...]”.</w:t>
            </w:r>
          </w:p>
        </w:tc>
        <w:tc>
          <w:tcPr>
            <w:tcW w:w="1695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uplastycznienie obrazu poetyckiego, konkretyzacja rzeczy abstrakcyjnych</w:t>
            </w:r>
          </w:p>
        </w:tc>
      </w:tr>
      <w:tr w:rsidR="002F3C88" w:rsidRPr="00153061" w:rsidTr="00D45407">
        <w:tc>
          <w:tcPr>
            <w:tcW w:w="1026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061">
              <w:rPr>
                <w:rFonts w:ascii="Times New Roman" w:hAnsi="Times New Roman"/>
                <w:sz w:val="24"/>
                <w:szCs w:val="24"/>
              </w:rPr>
              <w:t>paralelizm składniowy</w:t>
            </w:r>
          </w:p>
        </w:tc>
        <w:tc>
          <w:tcPr>
            <w:tcW w:w="2279" w:type="pct"/>
            <w:shd w:val="clear" w:color="auto" w:fill="auto"/>
          </w:tcPr>
          <w:p w:rsidR="002F3C88" w:rsidRPr="008911D8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E8547D">
              <w:rPr>
                <w:rFonts w:ascii="Times New Roman" w:hAnsi="Times New Roman"/>
                <w:sz w:val="24"/>
                <w:szCs w:val="24"/>
              </w:rPr>
              <w:t>Pierwsza jest –nieżyczliwość</w:t>
            </w:r>
            <w:r w:rsidRPr="008911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547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E8547D">
              <w:rPr>
                <w:rFonts w:ascii="Times New Roman" w:hAnsi="Times New Roman"/>
                <w:sz w:val="24"/>
                <w:szCs w:val="24"/>
              </w:rPr>
              <w:t xml:space="preserve">] Druga – niezgody i rozterki sąsiedzkie. Trzecia – naruszenie </w:t>
            </w:r>
            <w:proofErr w:type="spellStart"/>
            <w:r w:rsidRPr="00E8547D">
              <w:rPr>
                <w:rFonts w:ascii="Times New Roman" w:hAnsi="Times New Roman"/>
                <w:sz w:val="24"/>
                <w:szCs w:val="24"/>
              </w:rPr>
              <w:t>religiej</w:t>
            </w:r>
            <w:proofErr w:type="spellEnd"/>
            <w:r w:rsidRPr="00E8547D">
              <w:rPr>
                <w:rFonts w:ascii="Times New Roman" w:hAnsi="Times New Roman"/>
                <w:sz w:val="24"/>
                <w:szCs w:val="24"/>
              </w:rPr>
              <w:t xml:space="preserve"> katolickiej</w:t>
            </w:r>
            <w:r w:rsidRPr="008911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[...</w:t>
            </w:r>
            <w:r w:rsidRPr="00E8547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695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53061">
              <w:rPr>
                <w:rFonts w:ascii="Times New Roman" w:hAnsi="Times New Roman"/>
                <w:sz w:val="24"/>
                <w:szCs w:val="24"/>
              </w:rPr>
              <w:t>tylizacja biblijna, nadanie uroczystego charakteru</w:t>
            </w:r>
            <w:r>
              <w:rPr>
                <w:rFonts w:ascii="Times New Roman" w:hAnsi="Times New Roman"/>
                <w:sz w:val="24"/>
                <w:szCs w:val="24"/>
              </w:rPr>
              <w:t>, rytmu wypowiedzi</w:t>
            </w:r>
          </w:p>
        </w:tc>
      </w:tr>
      <w:tr w:rsidR="002F3C88" w:rsidRPr="00153061" w:rsidTr="00D45407">
        <w:tc>
          <w:tcPr>
            <w:tcW w:w="1026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061">
              <w:rPr>
                <w:rFonts w:ascii="Times New Roman" w:hAnsi="Times New Roman"/>
                <w:sz w:val="24"/>
                <w:szCs w:val="24"/>
              </w:rPr>
              <w:t>antyteza</w:t>
            </w:r>
          </w:p>
        </w:tc>
        <w:tc>
          <w:tcPr>
            <w:tcW w:w="2279" w:type="pct"/>
            <w:shd w:val="clear" w:color="auto" w:fill="auto"/>
          </w:tcPr>
          <w:p w:rsidR="002F3C88" w:rsidRPr="006A0A12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6748">
              <w:rPr>
                <w:rFonts w:ascii="Times New Roman" w:hAnsi="Times New Roman"/>
                <w:sz w:val="24"/>
                <w:szCs w:val="24"/>
              </w:rPr>
              <w:t>„</w:t>
            </w:r>
            <w:r w:rsidRPr="00016A14">
              <w:rPr>
                <w:rFonts w:ascii="Times New Roman" w:hAnsi="Times New Roman"/>
                <w:sz w:val="24"/>
                <w:szCs w:val="24"/>
              </w:rPr>
              <w:t>Wyście rozumy i głowy nasze; my jako proste dzieci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[...</w:t>
            </w:r>
            <w:r w:rsidRPr="00E8547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695" w:type="pct"/>
            <w:shd w:val="clear" w:color="auto" w:fill="auto"/>
          </w:tcPr>
          <w:p w:rsidR="002F3C88" w:rsidRPr="00153061" w:rsidRDefault="002F3C88" w:rsidP="00D45407">
            <w:pPr>
              <w:pStyle w:val="Bezodstpw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sprzeczności, oddziaływanie na emocje</w:t>
            </w:r>
          </w:p>
        </w:tc>
      </w:tr>
    </w:tbl>
    <w:p w:rsidR="002F3C88" w:rsidRDefault="002F3C88" w:rsidP="002F3C8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F3C88" w:rsidRDefault="002F3C88" w:rsidP="002F3C8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40DF6" w:rsidRDefault="00540DF6">
      <w:bookmarkStart w:id="0" w:name="_GoBack"/>
      <w:bookmarkEnd w:id="0"/>
    </w:p>
    <w:sectPr w:rsidR="0054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8"/>
    <w:rsid w:val="002F3C88"/>
    <w:rsid w:val="005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7C4BE-701F-40B2-A9E9-F29FA44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3C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2020-04-28T15:34:00Z</dcterms:created>
  <dcterms:modified xsi:type="dcterms:W3CDTF">2020-04-28T15:34:00Z</dcterms:modified>
</cp:coreProperties>
</file>