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EA" w:rsidRPr="003C54EA" w:rsidRDefault="003C54EA" w:rsidP="003C54EA">
      <w:pPr>
        <w:spacing w:after="0"/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shd w:val="clear" w:color="auto" w:fill="FFFFFF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shd w:val="clear" w:color="auto" w:fill="FFFFFF"/>
          <w:lang w:eastAsia="pl-PL"/>
        </w:rPr>
        <w:t>I NTERPRETACJA WIERSZA „KTÓRY SKRZYWDZIŁEŚ”</w:t>
      </w:r>
    </w:p>
    <w:p w:rsidR="003C54EA" w:rsidRDefault="003C54EA" w:rsidP="003C54EA">
      <w:pPr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</w:pPr>
    </w:p>
    <w:p w:rsidR="003C54EA" w:rsidRPr="003C54EA" w:rsidRDefault="003C54EA" w:rsidP="003C54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 xml:space="preserve">Tematem wiersza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 xml:space="preserve">Czesława 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Miłosza </w:t>
      </w:r>
      <w:r w:rsidRPr="003C54E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  <w:lang w:eastAsia="pl-PL"/>
        </w:rPr>
        <w:t>„Którzy skrzywdziłeś”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 jest </w:t>
      </w: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shd w:val="clear" w:color="auto" w:fill="FFFFFF"/>
          <w:lang w:eastAsia="pl-PL"/>
        </w:rPr>
        <w:t>despotyzm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. Wiersz powstał w 1950 roku w Waszyngtonie, kiedy to Miłosz uświadomił już sobie tragiczne skutki funkcjonowania systemu totalitarnego. Kontekst historyczny jest przy interpretacji utworu ważny, warto jednak także odwołać się do jego uniwersalnego wymiaru, którym jest ponadczasowy </w:t>
      </w: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shd w:val="clear" w:color="auto" w:fill="FFFFFF"/>
          <w:lang w:eastAsia="pl-PL"/>
        </w:rPr>
        <w:t>problem relacji władza – obywatel.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br/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Swoim ukształtowaniem utwór nawiązuje do </w:t>
      </w:r>
      <w:r w:rsidRPr="003C54E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pl-PL"/>
        </w:rPr>
        <w:t>konwencji poezji dworskiej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 – wierszy okolicznościowych, które miały pochwalić dobroć i sprawiedliwość władcy. Widać to w podniosłym słownictwie </w:t>
      </w:r>
      <w:r w:rsidRPr="003C54E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shd w:val="clear" w:color="auto" w:fill="FFFFFF"/>
          <w:lang w:eastAsia="pl-PL"/>
        </w:rPr>
        <w:t>(„radzi”, „spisane będą”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) i ukształtowaniu wierszowym (regularny 11-zgłoskowiec). Miłosz w sposób ironiczny wykorzystuje ten gatunek, tworząc wiersz, który ma władcę nie pochwalić, a potępić.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br/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Wiersz ma formę </w:t>
      </w: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shd w:val="clear" w:color="auto" w:fill="FFFFFF"/>
          <w:lang w:eastAsia="pl-PL"/>
        </w:rPr>
        <w:t>liryki zwrotu do adresata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. Podmiot liryczny zwraca się w nim bezpośrednio poprzez rozbudowaną apostrofę do władcy, który jest adresatem monologu. Wynika z tego ukształtowanie językowe: formy czasowników w drugiej osobie liczby pojedynczej, zaimki osobowe.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br/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Podmiot liryczny bez kozery </w:t>
      </w: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shd w:val="clear" w:color="auto" w:fill="FFFFFF"/>
          <w:lang w:eastAsia="pl-PL"/>
        </w:rPr>
        <w:t>wytyka władcy wszystkie jego wady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. Nie boi się go, piętnuje zdecydowanie jego postępowanie, sprzeciwia się mu. A co krytykuje? Postawę władcy i jego dworu – to, że władca bez mrugnięcia okiem krzywdzi tytułowego „człowieka prostego” i śmieje się z niego. Dwór władcy został scharakteryzowany jako </w:t>
      </w: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shd w:val="clear" w:color="auto" w:fill="FFFFFF"/>
          <w:lang w:eastAsia="pl-PL"/>
        </w:rPr>
        <w:t>gromada błaznów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, których władca zgromadził przy sobie po to, aby nie musieć respektować żadnych praw moralnych („na pomieszanie dobrego i złego”). Ludzie boją się władcy, schlebiają mu, podkreślają jego zasługi – tylko dlatego, że są zastraszeni.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br/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Poeta, a jednocześnie podmiot liryczny, zdecydowanie sprzeciwia się władcy:</w:t>
      </w:r>
    </w:p>
    <w:p w:rsidR="00FB0F47" w:rsidRPr="003C54EA" w:rsidRDefault="003C54EA" w:rsidP="003C54E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pl-PL"/>
        </w:rPr>
        <w:t>„Nie bądź bezpieczny. Poeta pamięta</w:t>
      </w: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pl-PL"/>
        </w:rPr>
        <w:br/>
        <w:t>Możesz go zabić – narodzi się nowy.</w:t>
      </w: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pl-PL"/>
        </w:rPr>
        <w:br/>
        <w:t>Spisane będą czyny i rozmowy”.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br/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W tym fragmencie ukazana jest </w:t>
      </w:r>
      <w:r w:rsidRPr="003C54E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pl-PL"/>
        </w:rPr>
        <w:t>rola poety jako tego, który zdaje sprawę z nikczemności władcy, głosi prawdę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. Jest on narzędziem do walki z despotyzmem, symbolem tej walki. I nie chodzi tu o żadnego konkretnego człowieka, ale o poetę w ogóle – zawsze znajdą się poeci, którzy będą czynili swoją powinność wobec despotycznego władcy.</w:t>
      </w:r>
    </w:p>
    <w:p w:rsidR="003C54EA" w:rsidRPr="003C54EA" w:rsidRDefault="003C54EA" w:rsidP="003C54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Poeta ostrzega despotę przed karą, wręcz grozi mu. Wizja tej kary została zawarta w końcowym dystychu:</w:t>
      </w:r>
    </w:p>
    <w:p w:rsidR="003C54EA" w:rsidRPr="003C54EA" w:rsidRDefault="003C54EA" w:rsidP="003C54E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pl-PL"/>
        </w:rPr>
        <w:t>„Lepszy dla ciebie byłby świt zimowy</w:t>
      </w: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pl-PL"/>
        </w:rPr>
        <w:br/>
        <w:t>I sznur i gałąź pod ciężarem zgięta.”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br/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Jest to wizja </w:t>
      </w:r>
      <w:r w:rsidRPr="003C54EA">
        <w:rPr>
          <w:rFonts w:ascii="Times New Roman" w:eastAsia="Times New Roman" w:hAnsi="Times New Roman" w:cs="Times New Roman"/>
          <w:bCs/>
          <w:spacing w:val="8"/>
          <w:sz w:val="24"/>
          <w:szCs w:val="24"/>
          <w:shd w:val="clear" w:color="auto" w:fill="FFFFFF"/>
          <w:lang w:eastAsia="pl-PL"/>
        </w:rPr>
        <w:t>samobójczej śmierci władcy</w:t>
      </w:r>
      <w:r w:rsidRPr="003C54EA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l-PL"/>
        </w:rPr>
        <w:t>. Z czego wynika ta śmierć? Zapewne z niemożności zniesienia ciężaru winy i odpowiedzialności za cierpienie niewinnych, „prostych ludzi”. Z wiersza wynika także to, że władza despotyczna zawsze obraca się przeciwko tym, którzy ją dzierżą</w:t>
      </w:r>
    </w:p>
    <w:sectPr w:rsidR="003C54EA" w:rsidRPr="003C54EA" w:rsidSect="003C54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54EA"/>
    <w:rsid w:val="003C54EA"/>
    <w:rsid w:val="00FB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C54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2020-04-02T12:32:00Z</dcterms:created>
  <dcterms:modified xsi:type="dcterms:W3CDTF">2020-04-02T12:35:00Z</dcterms:modified>
</cp:coreProperties>
</file>