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jpeg" ContentType="image/jpeg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EDB    1FTR                                                                                                         25.03.2020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(podr. s.137-144)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Temat: Ochrona ludności i zwierząt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 po lekcji: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 etatowe i zastępcze środki ochrony indywidualnej i zbiorowej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42021"/>
          <w:sz w:val="24"/>
          <w:szCs w:val="24"/>
          <w:lang w:eastAsia="pl-PL"/>
        </w:rPr>
        <w:t>wymienia materiały, które można wykorzystywać jako zastępcze środki</w:t>
        <w:br/>
        <w:t xml:space="preserve">ochrony dróg oddechowych i skóry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42021"/>
          <w:sz w:val="24"/>
          <w:szCs w:val="24"/>
          <w:lang w:eastAsia="pl-PL"/>
        </w:rPr>
        <w:t>wyjaśnia zasady postępowania w przypadku awarii instalacji chemicznej, środka transportu lub rozszczelnienia zbiorników z substancjami toksycznymi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42021"/>
          <w:sz w:val="24"/>
          <w:szCs w:val="24"/>
          <w:lang w:eastAsia="pl-PL"/>
        </w:rPr>
        <w:t>wyjaśnia znaczenie pojęć: odkażanie, dezaktywacja, dezynfekcja, deratyzacja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42021"/>
          <w:sz w:val="24"/>
          <w:szCs w:val="24"/>
          <w:lang w:eastAsia="pl-PL"/>
        </w:rPr>
        <w:t>wyjaśnia, na czym polegają zabiegi specjalne i sanitarne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Ochrona ludności i obrona cywilna w Polsce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formacje obrony cywilnej (OC)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b) obowiązki obywateli w zakresie obrony cywilnej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 Indywidualne środki ochrony dróg oddechowych: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typowe (etatowe) -  maski przeciwgazowe filtracyjne lub izolacyjne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zastępcze- np. maski tkaninowe, opaski przeciwpyłowe, maski przemysłowe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Indywidualne środki ochrony skóry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a) typowe (etatowe) – odzież ochronna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zastępcze – np.  płaszcze, peleryny przeddeszczowe, kombinezony skórzane, buty gumowe, nakrycia głowy skórzane , podgumowane itp.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Zbiorowe środki ochrony ludności – budowle ochronne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schrony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b) ukrycia , ukrycia doraźne, metro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Zabiegi sanitarne i specjalne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Podstawowymi jednostkami organizacyjnymi przeznaczonymi do wykonywania zadań obrony cywilnej w Rzeczypospolitej są formacje obrony cywilnej, które składają się z oddziałów obrony cywilnej przeznaczonych do wykonywania zadań ogólnych lub specjalnych, oraz innych jednostek tych formacji.</w:t>
      </w:r>
    </w:p>
    <w:p>
      <w:pPr>
        <w:pStyle w:val="NormalnyWeb"/>
        <w:numPr>
          <w:ilvl w:val="0"/>
          <w:numId w:val="2"/>
        </w:numPr>
        <w:spacing w:before="0" w:after="280"/>
        <w:rPr/>
      </w:pPr>
      <w:r>
        <w:rPr/>
        <w:t xml:space="preserve"> </w:t>
      </w:r>
      <w:r>
        <w:rPr/>
        <w:t xml:space="preserve">Centralnym organem administracji rządowej w sprawach obrony cywilnej jest </w:t>
      </w:r>
      <w:r>
        <w:rPr>
          <w:rStyle w:val="StrongEmphasis"/>
        </w:rPr>
        <w:t>Szef Obrony Cywilnej Kraju</w:t>
      </w:r>
      <w:r>
        <w:rPr/>
        <w:t xml:space="preserve">, którego powołuje Prezes Rady Ministrów na wniosek ministra właściwego do spraw wewnętrznych, któremu Szef Obrony Cywilnej Kraju podlega. </w:t>
      </w:r>
      <w:r>
        <w:rPr>
          <w:rStyle w:val="StrongEmphasis"/>
        </w:rPr>
        <w:t>Terenowymi organami</w:t>
      </w:r>
      <w:r>
        <w:rPr/>
        <w:t xml:space="preserve"> obrony cywilnej w Polsce są: wojewodowie, starostowie, wójtowie lub burmistrzowie (prezydenci miast), którzy są szefami obrony cywilnej odpowiednio na poziomie województwa, powiatu i gminy.</w:t>
      </w:r>
    </w:p>
    <w:p>
      <w:pPr>
        <w:pStyle w:val="NormalnyWeb"/>
        <w:numPr>
          <w:ilvl w:val="0"/>
          <w:numId w:val="2"/>
        </w:numPr>
        <w:spacing w:before="0" w:after="280"/>
        <w:rPr/>
      </w:pPr>
      <w:r>
        <w:rPr/>
        <w:t xml:space="preserve"> </w:t>
      </w:r>
      <w:r>
        <w:rPr/>
        <w:t xml:space="preserve">Środki wykorzystywane w celu ochrony ludzi dzielimy na </w:t>
      </w:r>
      <w:r>
        <w:rPr>
          <w:rStyle w:val="StrongEmphasis"/>
        </w:rPr>
        <w:t>indywidualne i zbiorowe</w:t>
      </w:r>
      <w:r>
        <w:rPr/>
        <w:t>.</w:t>
      </w:r>
    </w:p>
    <w:p>
      <w:pPr>
        <w:pStyle w:val="NormalnyWeb"/>
        <w:numPr>
          <w:ilvl w:val="0"/>
          <w:numId w:val="2"/>
        </w:numPr>
        <w:spacing w:before="0" w:after="280"/>
        <w:rPr/>
      </w:pPr>
      <w:r>
        <w:rPr/>
        <w:t xml:space="preserve"> </w:t>
      </w:r>
      <w:r>
        <w:rPr/>
        <w:t>Indywidualne środki ochronne dzielimy na etatowe i zastępcze, które następnie można podzielić na środki ochrony dróg oddechowych i środki ochrony skóry.</w:t>
      </w:r>
    </w:p>
    <w:p>
      <w:pPr>
        <w:pStyle w:val="NormalnyWeb"/>
        <w:numPr>
          <w:ilvl w:val="0"/>
          <w:numId w:val="2"/>
        </w:numPr>
        <w:spacing w:before="0" w:after="280"/>
        <w:rPr/>
      </w:pPr>
      <w:r>
        <w:rPr/>
        <w:t xml:space="preserve"> </w:t>
      </w:r>
      <w:r>
        <w:rPr/>
        <w:t>Zbiorowymi środkami ochrony ludzi są schrony i ukrycia.</w:t>
      </w:r>
    </w:p>
    <w:p>
      <w:pPr>
        <w:pStyle w:val="NormalnyWeb"/>
        <w:numPr>
          <w:ilvl w:val="0"/>
          <w:numId w:val="2"/>
        </w:numPr>
        <w:spacing w:before="0" w:after="280"/>
        <w:rPr/>
      </w:pPr>
      <w:r>
        <w:rPr/>
        <w:t xml:space="preserve"> </w:t>
      </w:r>
      <w:r>
        <w:rPr/>
        <w:t>W przypadku pojawienia się niebezpieczeństwa należy również pamiętać o </w:t>
      </w:r>
      <w:r>
        <w:rPr>
          <w:rStyle w:val="StrongEmphasis"/>
        </w:rPr>
        <w:t>ochronie zwierząt</w:t>
      </w:r>
      <w:r>
        <w:rPr/>
        <w:t>. Jeżeli charakterystyka i skala danego zagrożenia nie wymaga ich ewakuacji, należy przede wszystkim przystosować i zabezpieczyć budynki oraz pomieszczenia inwentarskie.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inline distT="0" distB="0" distL="0" distR="0">
            <wp:extent cx="5760720" cy="3665855"/>
            <wp:effectExtent l="0" t="0" r="0" b="0"/>
            <wp:docPr id="1" name="Obraz 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6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3" r="-1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inline distT="0" distB="0" distL="0" distR="0">
            <wp:extent cx="5761990" cy="8160385"/>
            <wp:effectExtent l="0" t="0" r="0" b="0"/>
            <wp:docPr id="2" name="Obraz 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inline distT="0" distB="0" distL="0" distR="0">
            <wp:extent cx="5868670" cy="8313420"/>
            <wp:effectExtent l="0" t="0" r="0" b="0"/>
            <wp:docPr id="3" name="Obraz 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2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83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53535"/>
          <w:sz w:val="24"/>
          <w:szCs w:val="24"/>
        </w:rPr>
        <w:t>1. Zastanów się i wymień części swojej garderoby, które mogłyby zostać wykorzystane jako zastępcze indywidualne środki ochronne.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53535"/>
          <w:sz w:val="24"/>
          <w:szCs w:val="24"/>
        </w:rPr>
        <w:t>2. Zastanów się, jakie budowle lub pomieszczenia w twojej najbliższej okolicy mogłyby zostać wykorzystane jako ukrycia. Zaproponuj działania, jakie należałoby podjąć, aby przystosować te budowle i pomieszczenia do realizacji funkcji ochronnych.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3. Wykonaj zadanie interaktywne  </w:t>
      </w:r>
      <w:hyperlink r:id="rId5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pl-PL"/>
          </w:rPr>
          <w:t>https://epodreczniki.pl/a/ochrona-ludnosci-i-dobr-kultury/DzikRbOQ5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Ćwiczenie 3 Przyporządkuj nazwy środków ochronnych do odpowiednich kategorii.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sz w:val="24"/>
        <w:szCs w:val="24"/>
        <w:rFonts w:cs="Symbol"/>
        <w:color w:val="242021"/>
        <w:lang w:eastAsia="pl-PL"/>
      </w:rPr>
    </w:lvl>
  </w:abstractNum>
  <w:abstractNum w:abstractNumId="2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Symbol" w:hAnsi="Symbol" w:eastAsia="Times New Roman" w:cs="Symbol"/>
      <w:color w:val="242021"/>
      <w:sz w:val="24"/>
      <w:szCs w:val="24"/>
      <w:lang w:eastAsia="pl-P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InternetLink">
    <w:name w:val="Internet Link"/>
    <w:basedOn w:val="Domylnaczcionkaakapitu"/>
    <w:rPr>
      <w:color w:val="0000FF"/>
      <w:u w:val="single"/>
    </w:rPr>
  </w:style>
  <w:style w:type="character" w:styleId="StrongEmphasis">
    <w:name w:val="Strong Emphasis"/>
    <w:basedOn w:val="Domylnaczcionkaakapitu"/>
    <w:qFormat/>
    <w:rPr>
      <w:b/>
      <w:bCs/>
    </w:rPr>
  </w:style>
  <w:style w:type="character" w:styleId="TekstdymkaZnak">
    <w:name w:val="Tekst dymka Znak"/>
    <w:basedOn w:val="Domylnaczcionkaakapitu"/>
    <w:qFormat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kapitzlist">
    <w:name w:val="Akapit z listą"/>
    <w:basedOn w:val="Normal"/>
    <w:qFormat/>
    <w:pPr>
      <w:spacing w:before="0" w:after="200"/>
      <w:ind w:start="720" w:hanging="0"/>
      <w:contextualSpacing/>
    </w:pPr>
    <w:rPr/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epodreczniki.pl/a/ochrona-ludnosci-i-dobr-kultury/DzikRbOQ5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2020-03-24T20:59:00Z</dcterms:created>
  <dc:creator>ThinkPad T420</dc:creator>
  <dc:description/>
  <dc:language>en-US</dc:language>
  <cp:lastModifiedBy>ThinkPad T420</cp:lastModifiedBy>
  <dcterms:modified xsi:type="dcterms:W3CDTF">2020-03-24T21:00:00Z</dcterms:modified>
  <cp:revision>1</cp:revision>
  <dc:subject/>
  <dc:title/>
</cp:coreProperties>
</file>